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E419D" w14:textId="77777777" w:rsidR="00681AB0" w:rsidRPr="00C44A9C" w:rsidRDefault="00681AB0" w:rsidP="00681AB0">
      <w:pPr>
        <w:jc w:val="center"/>
        <w:rPr>
          <w:lang w:val="fr-CA"/>
        </w:rPr>
      </w:pPr>
      <w:r w:rsidRPr="00C44A9C">
        <w:rPr>
          <w:lang w:val="fr-CA" w:eastAsia="en-CA"/>
        </w:rPr>
        <w:drawing>
          <wp:inline distT="0" distB="0" distL="0" distR="0" wp14:anchorId="7ED22697" wp14:editId="5F1F7AF8">
            <wp:extent cx="2179320" cy="1303020"/>
            <wp:effectExtent l="19050" t="0" r="0" b="0"/>
            <wp:docPr id="1" name="Picture 1" descr="Macintosh HD:Users:dannydacosta:Desktop:4040_Squash_Canad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nydacosta:Desktop:4040_Squash_Canada_RGB.jpg"/>
                    <pic:cNvPicPr>
                      <a:picLocks noChangeAspect="1" noChangeArrowheads="1"/>
                    </pic:cNvPicPr>
                  </pic:nvPicPr>
                  <pic:blipFill>
                    <a:blip r:embed="rId8" cstate="print"/>
                    <a:srcRect/>
                    <a:stretch>
                      <a:fillRect/>
                    </a:stretch>
                  </pic:blipFill>
                  <pic:spPr bwMode="auto">
                    <a:xfrm>
                      <a:off x="0" y="0"/>
                      <a:ext cx="2179320" cy="1303020"/>
                    </a:xfrm>
                    <a:prstGeom prst="rect">
                      <a:avLst/>
                    </a:prstGeom>
                    <a:noFill/>
                    <a:ln w="9525">
                      <a:noFill/>
                      <a:miter lim="800000"/>
                      <a:headEnd/>
                      <a:tailEnd/>
                    </a:ln>
                  </pic:spPr>
                </pic:pic>
              </a:graphicData>
            </a:graphic>
          </wp:inline>
        </w:drawing>
      </w:r>
    </w:p>
    <w:p w14:paraId="3C0CBA55" w14:textId="46365AB8" w:rsidR="00D854F9" w:rsidRPr="00C44A9C" w:rsidRDefault="00D854F9" w:rsidP="00D854F9">
      <w:pPr>
        <w:jc w:val="center"/>
        <w:rPr>
          <w:rFonts w:ascii="Calibri" w:hAnsi="Calibri"/>
          <w:b/>
          <w:sz w:val="32"/>
          <w:szCs w:val="32"/>
          <w:u w:val="single"/>
          <w:lang w:val="fr-CA"/>
        </w:rPr>
      </w:pPr>
      <w:r w:rsidRPr="00C44A9C">
        <w:rPr>
          <w:rFonts w:ascii="Calibri" w:hAnsi="Calibri"/>
          <w:b/>
          <w:sz w:val="32"/>
          <w:szCs w:val="32"/>
          <w:u w:val="single"/>
          <w:lang w:val="fr-CA"/>
        </w:rPr>
        <w:t>CRITÈRES D'ÉLIGIBILITÉ ET DE SÉLECTION</w:t>
      </w:r>
      <w:r w:rsidR="00C44A9C" w:rsidRPr="00C44A9C">
        <w:rPr>
          <w:rFonts w:ascii="Calibri" w:hAnsi="Calibri"/>
          <w:b/>
          <w:sz w:val="32"/>
          <w:szCs w:val="32"/>
          <w:u w:val="single"/>
          <w:lang w:val="fr-CA"/>
        </w:rPr>
        <w:t xml:space="preserve"> POUR LA </w:t>
      </w:r>
      <w:r w:rsidR="00C44A9C" w:rsidRPr="00C44A9C">
        <w:rPr>
          <w:rFonts w:ascii="Calibri" w:hAnsi="Calibri"/>
          <w:b/>
          <w:sz w:val="32"/>
          <w:szCs w:val="32"/>
          <w:u w:val="single"/>
          <w:lang w:val="fr-CA"/>
        </w:rPr>
        <w:t>BATAILLE DES FRONTIÈRES</w:t>
      </w:r>
    </w:p>
    <w:p w14:paraId="0FA37C8E" w14:textId="77777777" w:rsidR="00D854F9" w:rsidRPr="00C44A9C" w:rsidRDefault="00D854F9" w:rsidP="00D854F9">
      <w:pPr>
        <w:jc w:val="center"/>
        <w:rPr>
          <w:rFonts w:ascii="Calibri" w:hAnsi="Calibri"/>
          <w:b/>
          <w:sz w:val="22"/>
          <w:szCs w:val="22"/>
          <w:u w:val="single"/>
          <w:lang w:val="fr-CA"/>
        </w:rPr>
      </w:pPr>
      <w:r w:rsidRPr="00C44A9C">
        <w:rPr>
          <w:rFonts w:ascii="Calibri" w:hAnsi="Calibri"/>
          <w:b/>
          <w:sz w:val="22"/>
          <w:szCs w:val="22"/>
          <w:u w:val="single"/>
          <w:lang w:val="fr-CA"/>
        </w:rPr>
        <w:t>Approuvé le X février 2023</w:t>
      </w:r>
    </w:p>
    <w:p w14:paraId="0DEE12E7" w14:textId="77777777" w:rsidR="00D854F9" w:rsidRPr="00C44A9C" w:rsidRDefault="00D854F9" w:rsidP="00D854F9">
      <w:pPr>
        <w:jc w:val="both"/>
        <w:rPr>
          <w:rFonts w:ascii="Calibri" w:hAnsi="Calibri"/>
          <w:b/>
          <w:sz w:val="22"/>
          <w:szCs w:val="22"/>
          <w:u w:val="single"/>
          <w:lang w:val="fr-CA"/>
        </w:rPr>
      </w:pPr>
    </w:p>
    <w:p w14:paraId="0157EE0E" w14:textId="77777777" w:rsidR="00D854F9" w:rsidRPr="00C44A9C" w:rsidRDefault="00D854F9" w:rsidP="00D854F9">
      <w:pPr>
        <w:jc w:val="both"/>
        <w:rPr>
          <w:rFonts w:ascii="Calibri" w:hAnsi="Calibri"/>
          <w:b/>
          <w:sz w:val="22"/>
          <w:szCs w:val="22"/>
          <w:u w:val="single"/>
          <w:lang w:val="fr-CA"/>
        </w:rPr>
      </w:pPr>
    </w:p>
    <w:p w14:paraId="2CA15EF4" w14:textId="77777777" w:rsidR="00D854F9" w:rsidRPr="00C44A9C" w:rsidRDefault="00D854F9" w:rsidP="00D854F9">
      <w:pPr>
        <w:jc w:val="both"/>
        <w:rPr>
          <w:rFonts w:ascii="Calibri" w:hAnsi="Calibri"/>
          <w:b/>
          <w:sz w:val="22"/>
          <w:szCs w:val="22"/>
          <w:u w:val="single"/>
          <w:lang w:val="fr-CA"/>
        </w:rPr>
      </w:pPr>
      <w:r w:rsidRPr="00C44A9C">
        <w:rPr>
          <w:rFonts w:ascii="Calibri" w:hAnsi="Calibri"/>
          <w:b/>
          <w:sz w:val="22"/>
          <w:szCs w:val="22"/>
          <w:u w:val="single"/>
          <w:lang w:val="fr-CA"/>
        </w:rPr>
        <w:t>SURVOL DE L'ÉVÉNEMENT BATAILLE DES FRONTIÈRES :</w:t>
      </w:r>
    </w:p>
    <w:p w14:paraId="45C47A90" w14:textId="77777777" w:rsidR="00D854F9" w:rsidRPr="00C44A9C" w:rsidRDefault="00D854F9" w:rsidP="00D854F9">
      <w:pPr>
        <w:jc w:val="both"/>
        <w:rPr>
          <w:rFonts w:ascii="Calibri" w:hAnsi="Calibri"/>
          <w:sz w:val="22"/>
          <w:szCs w:val="22"/>
          <w:lang w:val="fr-CA"/>
        </w:rPr>
      </w:pPr>
    </w:p>
    <w:p w14:paraId="6F25CF64" w14:textId="77777777" w:rsidR="00D854F9" w:rsidRPr="00C44A9C" w:rsidRDefault="00D854F9" w:rsidP="00D854F9">
      <w:pPr>
        <w:numPr>
          <w:ilvl w:val="0"/>
          <w:numId w:val="1"/>
        </w:numPr>
        <w:contextualSpacing/>
        <w:jc w:val="both"/>
        <w:rPr>
          <w:rFonts w:ascii="Calibri" w:hAnsi="Calibri"/>
          <w:sz w:val="22"/>
          <w:szCs w:val="22"/>
          <w:lang w:val="fr-CA"/>
        </w:rPr>
      </w:pPr>
      <w:r w:rsidRPr="00C44A9C">
        <w:rPr>
          <w:rFonts w:ascii="Calibri" w:hAnsi="Calibri"/>
          <w:sz w:val="22"/>
          <w:szCs w:val="22"/>
          <w:lang w:val="fr-CA"/>
        </w:rPr>
        <w:t xml:space="preserve">L'objectif de Bataille des frontières est d'offrir aux jeunes talents canadiens l'occasion de se développer en tant qu'athlète international de haut niveau et de représenter l'équipe du Canada contre les États-Unis, une expérience stimulante.  </w:t>
      </w:r>
    </w:p>
    <w:p w14:paraId="189212C3" w14:textId="77777777" w:rsidR="00D854F9" w:rsidRPr="00C44A9C" w:rsidRDefault="00D854F9" w:rsidP="00D854F9">
      <w:pPr>
        <w:contextualSpacing/>
        <w:jc w:val="both"/>
        <w:rPr>
          <w:rFonts w:ascii="Calibri" w:hAnsi="Calibri"/>
          <w:sz w:val="22"/>
          <w:szCs w:val="22"/>
          <w:lang w:val="fr-CA"/>
        </w:rPr>
      </w:pPr>
    </w:p>
    <w:p w14:paraId="428F5083" w14:textId="77777777" w:rsidR="00D854F9" w:rsidRPr="00C44A9C" w:rsidRDefault="00D854F9" w:rsidP="00D854F9">
      <w:pPr>
        <w:numPr>
          <w:ilvl w:val="0"/>
          <w:numId w:val="1"/>
        </w:numPr>
        <w:contextualSpacing/>
        <w:jc w:val="both"/>
        <w:rPr>
          <w:rFonts w:ascii="Calibri" w:hAnsi="Calibri"/>
          <w:sz w:val="22"/>
          <w:szCs w:val="22"/>
          <w:lang w:val="fr-CA"/>
        </w:rPr>
      </w:pPr>
      <w:r w:rsidRPr="00C44A9C">
        <w:rPr>
          <w:rFonts w:ascii="Calibri" w:hAnsi="Calibri"/>
          <w:sz w:val="22"/>
          <w:szCs w:val="22"/>
          <w:lang w:val="fr-CA"/>
        </w:rPr>
        <w:t>Les athlètes de Bataille des frontières sont :</w:t>
      </w:r>
    </w:p>
    <w:p w14:paraId="0F10854A" w14:textId="77777777" w:rsidR="00D854F9" w:rsidRPr="00C44A9C" w:rsidRDefault="00D854F9" w:rsidP="00D854F9">
      <w:pPr>
        <w:pStyle w:val="ListParagraph"/>
        <w:rPr>
          <w:rFonts w:ascii="Calibri" w:hAnsi="Calibri"/>
          <w:sz w:val="22"/>
          <w:szCs w:val="22"/>
          <w:lang w:val="fr-CA"/>
        </w:rPr>
      </w:pPr>
    </w:p>
    <w:p w14:paraId="3B465135" w14:textId="77777777" w:rsidR="00D854F9" w:rsidRPr="00C44A9C" w:rsidRDefault="00D854F9" w:rsidP="00D854F9">
      <w:pPr>
        <w:ind w:left="786"/>
        <w:contextualSpacing/>
        <w:jc w:val="both"/>
        <w:rPr>
          <w:rFonts w:ascii="Calibri" w:hAnsi="Calibri"/>
          <w:sz w:val="22"/>
          <w:szCs w:val="22"/>
          <w:lang w:val="fr-CA"/>
        </w:rPr>
      </w:pPr>
      <w:r w:rsidRPr="00C44A9C">
        <w:rPr>
          <w:rFonts w:ascii="Calibri" w:hAnsi="Calibri"/>
          <w:sz w:val="22"/>
          <w:szCs w:val="22"/>
          <w:lang w:val="fr-CA"/>
        </w:rPr>
        <w:t>Les athlètes qui se trouvent à l'étape Apprendre à s'entraîner, S'entraîner à s'entraîner ou S'entraîner à la compétition du modèle DLTA et qui présentent un profil de squash junior de haute performance.</w:t>
      </w:r>
    </w:p>
    <w:p w14:paraId="13A63420" w14:textId="77777777" w:rsidR="00D854F9" w:rsidRPr="00C44A9C" w:rsidRDefault="00D854F9" w:rsidP="00D854F9">
      <w:pPr>
        <w:ind w:left="786"/>
        <w:contextualSpacing/>
        <w:jc w:val="both"/>
        <w:rPr>
          <w:rFonts w:ascii="Calibri" w:hAnsi="Calibri"/>
          <w:sz w:val="22"/>
          <w:szCs w:val="22"/>
          <w:lang w:val="fr-CA"/>
        </w:rPr>
      </w:pPr>
    </w:p>
    <w:p w14:paraId="78146382" w14:textId="77777777" w:rsidR="00D854F9" w:rsidRPr="00C44A9C" w:rsidRDefault="00D854F9" w:rsidP="00D854F9">
      <w:pPr>
        <w:numPr>
          <w:ilvl w:val="0"/>
          <w:numId w:val="1"/>
        </w:numPr>
        <w:contextualSpacing/>
        <w:jc w:val="both"/>
        <w:rPr>
          <w:rFonts w:ascii="Calibri" w:hAnsi="Calibri"/>
          <w:sz w:val="22"/>
          <w:szCs w:val="22"/>
          <w:lang w:val="fr-CA"/>
        </w:rPr>
      </w:pPr>
      <w:r w:rsidRPr="00C44A9C">
        <w:rPr>
          <w:rFonts w:ascii="Calibri" w:hAnsi="Calibri"/>
          <w:sz w:val="22"/>
          <w:szCs w:val="22"/>
          <w:lang w:val="fr-CA"/>
        </w:rPr>
        <w:t>Chaque équipe canadienne et américaine sera composée de quatre garçons et de quatre filles dans chacune des catégories d'âge U13, U15 et U17. L'âge limite sera le même que celui du Championnat canadien junior de la même année.</w:t>
      </w:r>
    </w:p>
    <w:p w14:paraId="413A7953" w14:textId="77777777" w:rsidR="00D854F9" w:rsidRPr="00C44A9C" w:rsidRDefault="00D854F9" w:rsidP="00D854F9">
      <w:pPr>
        <w:ind w:left="786"/>
        <w:contextualSpacing/>
        <w:jc w:val="both"/>
        <w:rPr>
          <w:rFonts w:ascii="Calibri" w:hAnsi="Calibri"/>
          <w:sz w:val="22"/>
          <w:szCs w:val="22"/>
          <w:lang w:val="fr-CA"/>
        </w:rPr>
      </w:pPr>
    </w:p>
    <w:p w14:paraId="5A96890D" w14:textId="77777777" w:rsidR="00D854F9" w:rsidRPr="00C44A9C" w:rsidRDefault="00D854F9" w:rsidP="00D854F9">
      <w:pPr>
        <w:numPr>
          <w:ilvl w:val="0"/>
          <w:numId w:val="1"/>
        </w:numPr>
        <w:contextualSpacing/>
        <w:jc w:val="both"/>
        <w:rPr>
          <w:rFonts w:ascii="Calibri" w:hAnsi="Calibri"/>
          <w:sz w:val="22"/>
          <w:szCs w:val="22"/>
          <w:lang w:val="fr-CA"/>
        </w:rPr>
      </w:pPr>
      <w:r w:rsidRPr="00C44A9C">
        <w:rPr>
          <w:rFonts w:ascii="Calibri" w:hAnsi="Calibri"/>
          <w:sz w:val="22"/>
          <w:szCs w:val="22"/>
          <w:lang w:val="fr-CA"/>
        </w:rPr>
        <w:t>Bien que Squash Canada subventionne la Bataille des frontières, des frais de participation sont exigés des joueurs.</w:t>
      </w:r>
    </w:p>
    <w:p w14:paraId="5C14A471" w14:textId="77777777" w:rsidR="00D854F9" w:rsidRPr="00C44A9C" w:rsidRDefault="00D854F9" w:rsidP="00D854F9">
      <w:pPr>
        <w:jc w:val="both"/>
        <w:rPr>
          <w:rFonts w:ascii="Calibri" w:hAnsi="Calibri"/>
          <w:sz w:val="22"/>
          <w:szCs w:val="22"/>
          <w:lang w:val="fr-CA"/>
        </w:rPr>
      </w:pPr>
    </w:p>
    <w:p w14:paraId="49326362" w14:textId="77777777" w:rsidR="00D854F9" w:rsidRPr="00C44A9C" w:rsidRDefault="00D854F9" w:rsidP="00D854F9">
      <w:pPr>
        <w:autoSpaceDE w:val="0"/>
        <w:autoSpaceDN w:val="0"/>
        <w:adjustRightInd w:val="0"/>
        <w:outlineLvl w:val="0"/>
        <w:rPr>
          <w:rFonts w:ascii="Calibri" w:hAnsi="Calibri"/>
          <w:b/>
          <w:color w:val="000000"/>
          <w:sz w:val="22"/>
          <w:szCs w:val="22"/>
          <w:u w:val="single"/>
          <w:lang w:val="fr-CA"/>
        </w:rPr>
      </w:pPr>
      <w:r w:rsidRPr="00C44A9C">
        <w:rPr>
          <w:rFonts w:ascii="Calibri" w:hAnsi="Calibri"/>
          <w:b/>
          <w:color w:val="000000"/>
          <w:sz w:val="22"/>
          <w:szCs w:val="22"/>
          <w:u w:val="single"/>
          <w:lang w:val="fr-CA"/>
        </w:rPr>
        <w:t>OBJECTIF/POUVOIR :</w:t>
      </w:r>
    </w:p>
    <w:p w14:paraId="2D1B8683" w14:textId="77777777" w:rsidR="00D854F9" w:rsidRPr="00C44A9C" w:rsidRDefault="00D854F9" w:rsidP="00D854F9">
      <w:pPr>
        <w:autoSpaceDE w:val="0"/>
        <w:autoSpaceDN w:val="0"/>
        <w:adjustRightInd w:val="0"/>
        <w:outlineLvl w:val="0"/>
        <w:rPr>
          <w:rFonts w:ascii="Calibri" w:hAnsi="Calibri"/>
          <w:b/>
          <w:color w:val="000000"/>
          <w:sz w:val="22"/>
          <w:szCs w:val="22"/>
          <w:u w:val="single"/>
          <w:lang w:val="fr-CA"/>
        </w:rPr>
      </w:pPr>
    </w:p>
    <w:p w14:paraId="7BD653BD" w14:textId="77777777" w:rsidR="00D854F9" w:rsidRPr="00C44A9C" w:rsidRDefault="00D854F9" w:rsidP="00D854F9">
      <w:pPr>
        <w:pStyle w:val="ListParagraph"/>
        <w:numPr>
          <w:ilvl w:val="0"/>
          <w:numId w:val="1"/>
        </w:numPr>
        <w:autoSpaceDE w:val="0"/>
        <w:autoSpaceDN w:val="0"/>
        <w:adjustRightInd w:val="0"/>
        <w:contextualSpacing/>
        <w:jc w:val="both"/>
        <w:rPr>
          <w:rFonts w:ascii="Calibri" w:hAnsi="Calibri"/>
          <w:color w:val="000000"/>
          <w:sz w:val="22"/>
          <w:szCs w:val="22"/>
          <w:lang w:val="fr-CA"/>
        </w:rPr>
      </w:pPr>
      <w:r w:rsidRPr="00C44A9C">
        <w:rPr>
          <w:rFonts w:ascii="Calibri" w:hAnsi="Calibri"/>
          <w:color w:val="000000"/>
          <w:sz w:val="22"/>
          <w:szCs w:val="22"/>
          <w:lang w:val="fr-CA"/>
        </w:rPr>
        <w:t xml:space="preserve">La présente politique régit la sélection par Squash Canada des joueurs de l'équipe canadienne pour la </w:t>
      </w:r>
      <w:r w:rsidRPr="00C44A9C">
        <w:rPr>
          <w:rFonts w:ascii="Calibri" w:hAnsi="Calibri"/>
          <w:sz w:val="22"/>
          <w:szCs w:val="22"/>
          <w:lang w:val="fr-CA"/>
        </w:rPr>
        <w:t>Bataille des frontières</w:t>
      </w:r>
      <w:r w:rsidRPr="00C44A9C">
        <w:rPr>
          <w:rFonts w:ascii="Calibri" w:hAnsi="Calibri"/>
          <w:color w:val="000000"/>
          <w:sz w:val="22"/>
          <w:szCs w:val="22"/>
          <w:lang w:val="fr-CA"/>
        </w:rPr>
        <w:t>. Le Comité du cheminement des juniors/athlètes sélectionnera les athlètes à la fin du Championnat national junior fermé, qui a habituellement lieu en avril, conformément aux critères ci-dessous.</w:t>
      </w:r>
    </w:p>
    <w:p w14:paraId="6857663B" w14:textId="77777777" w:rsidR="00D854F9" w:rsidRPr="00C44A9C" w:rsidRDefault="00D854F9" w:rsidP="00D854F9">
      <w:pPr>
        <w:rPr>
          <w:rFonts w:ascii="Calibri" w:hAnsi="Calibri"/>
          <w:color w:val="000000"/>
          <w:sz w:val="22"/>
          <w:szCs w:val="22"/>
          <w:lang w:val="fr-CA"/>
        </w:rPr>
      </w:pPr>
    </w:p>
    <w:p w14:paraId="3850E4E9" w14:textId="77777777" w:rsidR="00D854F9" w:rsidRPr="00C44A9C" w:rsidRDefault="00D854F9" w:rsidP="00D854F9">
      <w:pPr>
        <w:autoSpaceDE w:val="0"/>
        <w:autoSpaceDN w:val="0"/>
        <w:adjustRightInd w:val="0"/>
        <w:jc w:val="both"/>
        <w:rPr>
          <w:rFonts w:ascii="Calibri" w:hAnsi="Calibri"/>
          <w:b/>
          <w:color w:val="000000"/>
          <w:sz w:val="22"/>
          <w:szCs w:val="22"/>
          <w:u w:val="single"/>
          <w:lang w:val="fr-CA"/>
        </w:rPr>
      </w:pPr>
      <w:r w:rsidRPr="00C44A9C">
        <w:rPr>
          <w:rFonts w:ascii="Calibri" w:hAnsi="Calibri"/>
          <w:b/>
          <w:color w:val="000000"/>
          <w:sz w:val="22"/>
          <w:szCs w:val="22"/>
          <w:u w:val="single"/>
          <w:lang w:val="fr-CA"/>
        </w:rPr>
        <w:t>COMMUNICATION :</w:t>
      </w:r>
    </w:p>
    <w:p w14:paraId="126A99AF" w14:textId="77777777" w:rsidR="00D854F9" w:rsidRPr="00C44A9C" w:rsidRDefault="00D854F9" w:rsidP="00D854F9">
      <w:pPr>
        <w:autoSpaceDE w:val="0"/>
        <w:autoSpaceDN w:val="0"/>
        <w:adjustRightInd w:val="0"/>
        <w:jc w:val="both"/>
        <w:rPr>
          <w:rFonts w:ascii="Calibri" w:hAnsi="Calibri"/>
          <w:b/>
          <w:color w:val="000000"/>
          <w:sz w:val="22"/>
          <w:szCs w:val="22"/>
          <w:u w:val="single"/>
          <w:lang w:val="fr-CA"/>
        </w:rPr>
      </w:pPr>
    </w:p>
    <w:p w14:paraId="1304707D" w14:textId="4F4395FC" w:rsidR="00D854F9" w:rsidRPr="00C44A9C" w:rsidRDefault="00D854F9" w:rsidP="00D854F9">
      <w:pPr>
        <w:numPr>
          <w:ilvl w:val="0"/>
          <w:numId w:val="1"/>
        </w:numPr>
        <w:autoSpaceDE w:val="0"/>
        <w:autoSpaceDN w:val="0"/>
        <w:adjustRightInd w:val="0"/>
        <w:jc w:val="both"/>
        <w:rPr>
          <w:rFonts w:ascii="Calibri" w:hAnsi="Calibri"/>
          <w:color w:val="000000"/>
          <w:sz w:val="22"/>
          <w:szCs w:val="22"/>
          <w:lang w:val="fr-CA"/>
        </w:rPr>
      </w:pPr>
      <w:r w:rsidRPr="00C44A9C">
        <w:rPr>
          <w:rFonts w:ascii="Calibri" w:hAnsi="Calibri"/>
          <w:color w:val="000000"/>
          <w:sz w:val="22"/>
          <w:szCs w:val="22"/>
          <w:lang w:val="fr-CA"/>
        </w:rPr>
        <w:t xml:space="preserve">La présente politique et toute modification qui y est apportée seront affichées sur le site Web de Squash Canada, à l'adresse </w:t>
      </w:r>
      <w:hyperlink r:id="rId9" w:history="1">
        <w:r w:rsidR="00C44A9C" w:rsidRPr="00C44A9C">
          <w:rPr>
            <w:rStyle w:val="Hyperlink"/>
            <w:rFonts w:ascii="Calibri" w:hAnsi="Calibri"/>
            <w:sz w:val="22"/>
            <w:szCs w:val="22"/>
            <w:lang w:val="fr-CA"/>
          </w:rPr>
          <w:t>http://squash.ca/fr</w:t>
        </w:r>
      </w:hyperlink>
      <w:r w:rsidR="00C44A9C" w:rsidRPr="00C44A9C">
        <w:rPr>
          <w:rFonts w:ascii="Calibri" w:hAnsi="Calibri"/>
          <w:color w:val="000000"/>
          <w:sz w:val="22"/>
          <w:szCs w:val="22"/>
          <w:lang w:val="fr-CA"/>
        </w:rPr>
        <w:t>.</w:t>
      </w:r>
    </w:p>
    <w:p w14:paraId="2C5C1945" w14:textId="77777777" w:rsidR="00D854F9" w:rsidRPr="00C44A9C" w:rsidRDefault="00D854F9" w:rsidP="00D854F9">
      <w:pPr>
        <w:jc w:val="both"/>
        <w:rPr>
          <w:rFonts w:ascii="Calibri" w:hAnsi="Calibri"/>
          <w:color w:val="000000"/>
          <w:sz w:val="22"/>
          <w:szCs w:val="22"/>
          <w:lang w:val="fr-CA"/>
        </w:rPr>
      </w:pPr>
    </w:p>
    <w:p w14:paraId="4F2DA77C" w14:textId="77777777" w:rsidR="00C44A9C" w:rsidRPr="00C44A9C" w:rsidRDefault="00C44A9C" w:rsidP="00D854F9">
      <w:pPr>
        <w:jc w:val="both"/>
        <w:rPr>
          <w:rFonts w:ascii="Calibri" w:hAnsi="Calibri"/>
          <w:b/>
          <w:sz w:val="22"/>
          <w:szCs w:val="22"/>
          <w:u w:val="single"/>
          <w:lang w:val="fr-CA"/>
        </w:rPr>
      </w:pPr>
    </w:p>
    <w:p w14:paraId="19CB9739" w14:textId="77777777" w:rsidR="00C44A9C" w:rsidRPr="00C44A9C" w:rsidRDefault="00C44A9C">
      <w:pPr>
        <w:rPr>
          <w:rFonts w:ascii="Calibri" w:hAnsi="Calibri"/>
          <w:b/>
          <w:sz w:val="22"/>
          <w:szCs w:val="22"/>
          <w:u w:val="single"/>
          <w:lang w:val="fr-CA"/>
        </w:rPr>
      </w:pPr>
      <w:r w:rsidRPr="00C44A9C">
        <w:rPr>
          <w:rFonts w:ascii="Calibri" w:hAnsi="Calibri"/>
          <w:b/>
          <w:sz w:val="22"/>
          <w:szCs w:val="22"/>
          <w:u w:val="single"/>
          <w:lang w:val="fr-CA"/>
        </w:rPr>
        <w:br w:type="page"/>
      </w:r>
    </w:p>
    <w:p w14:paraId="58B25E4E" w14:textId="257F256D" w:rsidR="00D854F9" w:rsidRPr="00C44A9C" w:rsidRDefault="00D854F9" w:rsidP="00D854F9">
      <w:pPr>
        <w:jc w:val="both"/>
        <w:rPr>
          <w:rFonts w:ascii="Calibri" w:hAnsi="Calibri"/>
          <w:b/>
          <w:sz w:val="22"/>
          <w:szCs w:val="22"/>
          <w:u w:val="single"/>
          <w:lang w:val="fr-CA"/>
        </w:rPr>
      </w:pPr>
      <w:r w:rsidRPr="00C44A9C">
        <w:rPr>
          <w:rFonts w:ascii="Calibri" w:hAnsi="Calibri"/>
          <w:b/>
          <w:sz w:val="22"/>
          <w:szCs w:val="22"/>
          <w:u w:val="single"/>
          <w:lang w:val="fr-CA"/>
        </w:rPr>
        <w:lastRenderedPageBreak/>
        <w:t>CRITÈRES D'ADMISSIBILITÉ :</w:t>
      </w:r>
    </w:p>
    <w:p w14:paraId="4DD8AED3" w14:textId="77777777" w:rsidR="00D854F9" w:rsidRPr="00C44A9C" w:rsidRDefault="00D854F9" w:rsidP="00D854F9">
      <w:pPr>
        <w:jc w:val="both"/>
        <w:rPr>
          <w:rFonts w:ascii="Calibri" w:hAnsi="Calibri"/>
          <w:b/>
          <w:sz w:val="22"/>
          <w:szCs w:val="22"/>
          <w:u w:val="single"/>
          <w:lang w:val="fr-CA"/>
        </w:rPr>
      </w:pPr>
    </w:p>
    <w:p w14:paraId="00A7A72E" w14:textId="32752A44" w:rsidR="00D854F9" w:rsidRPr="00C44A9C" w:rsidRDefault="00D854F9" w:rsidP="00D854F9">
      <w:pPr>
        <w:numPr>
          <w:ilvl w:val="0"/>
          <w:numId w:val="1"/>
        </w:numPr>
        <w:contextualSpacing/>
        <w:jc w:val="both"/>
        <w:rPr>
          <w:rFonts w:ascii="Calibri" w:hAnsi="Calibri"/>
          <w:sz w:val="22"/>
          <w:szCs w:val="22"/>
          <w:lang w:val="fr-CA"/>
        </w:rPr>
      </w:pPr>
      <w:r w:rsidRPr="00C44A9C">
        <w:rPr>
          <w:rFonts w:ascii="Calibri" w:hAnsi="Calibri"/>
          <w:sz w:val="22"/>
          <w:szCs w:val="22"/>
          <w:lang w:val="fr-CA"/>
        </w:rPr>
        <w:t>Pour être nommé au sein de l'équipe canadienne pour la bataille des frontières, un athlète doit répondre aux critères suivants :</w:t>
      </w:r>
    </w:p>
    <w:p w14:paraId="3AC530D4" w14:textId="77777777" w:rsidR="00D854F9" w:rsidRPr="00C44A9C" w:rsidRDefault="00D854F9" w:rsidP="00D854F9">
      <w:pPr>
        <w:jc w:val="both"/>
        <w:rPr>
          <w:rFonts w:ascii="Calibri" w:hAnsi="Calibri"/>
          <w:sz w:val="22"/>
          <w:szCs w:val="22"/>
          <w:lang w:val="fr-CA"/>
        </w:rPr>
      </w:pPr>
    </w:p>
    <w:p w14:paraId="24BD71D1" w14:textId="77777777" w:rsidR="00D854F9" w:rsidRPr="00C44A9C" w:rsidRDefault="00D854F9" w:rsidP="00D854F9">
      <w:pPr>
        <w:numPr>
          <w:ilvl w:val="0"/>
          <w:numId w:val="2"/>
        </w:numPr>
        <w:ind w:left="1134"/>
        <w:contextualSpacing/>
        <w:jc w:val="both"/>
        <w:rPr>
          <w:rFonts w:ascii="Calibri" w:hAnsi="Calibri"/>
          <w:sz w:val="22"/>
          <w:szCs w:val="22"/>
          <w:lang w:val="fr-CA"/>
        </w:rPr>
      </w:pPr>
      <w:r w:rsidRPr="00C44A9C">
        <w:rPr>
          <w:rFonts w:ascii="Calibri" w:hAnsi="Calibri"/>
          <w:sz w:val="22"/>
          <w:szCs w:val="22"/>
          <w:lang w:val="fr-CA"/>
        </w:rPr>
        <w:t>Être membre en règle de son association provinciale ou territoriale de squash et joueur en règle de Squash Canada en vertu de toute entente antérieure signée par l'athlète; et</w:t>
      </w:r>
    </w:p>
    <w:p w14:paraId="12C41613" w14:textId="77777777" w:rsidR="00D854F9" w:rsidRPr="00C44A9C" w:rsidRDefault="00D854F9" w:rsidP="00D854F9">
      <w:pPr>
        <w:contextualSpacing/>
        <w:jc w:val="both"/>
        <w:rPr>
          <w:rFonts w:ascii="Calibri" w:hAnsi="Calibri"/>
          <w:sz w:val="22"/>
          <w:szCs w:val="22"/>
          <w:lang w:val="fr-CA"/>
        </w:rPr>
      </w:pPr>
    </w:p>
    <w:p w14:paraId="2CB04F64" w14:textId="77777777" w:rsidR="00D854F9" w:rsidRPr="00C44A9C" w:rsidRDefault="00D854F9" w:rsidP="00D854F9">
      <w:pPr>
        <w:numPr>
          <w:ilvl w:val="0"/>
          <w:numId w:val="2"/>
        </w:numPr>
        <w:ind w:left="1134"/>
        <w:contextualSpacing/>
        <w:jc w:val="both"/>
        <w:rPr>
          <w:rFonts w:ascii="Calibri" w:hAnsi="Calibri" w:cs="Arial"/>
          <w:bCs/>
          <w:color w:val="000000"/>
          <w:sz w:val="22"/>
          <w:szCs w:val="22"/>
          <w:lang w:val="fr-CA" w:eastAsia="ja-JP"/>
        </w:rPr>
      </w:pPr>
      <w:r w:rsidRPr="00C44A9C">
        <w:rPr>
          <w:rFonts w:ascii="Calibri" w:hAnsi="Calibri" w:cs="Arial"/>
          <w:bCs/>
          <w:color w:val="000000"/>
          <w:sz w:val="22"/>
          <w:szCs w:val="22"/>
          <w:lang w:val="fr-CA" w:eastAsia="ja-JP"/>
        </w:rPr>
        <w:t>Être admissible à représenter le Canada aux championnats mondiaux de la World Squash Federation ou démontrer à Squash Canada que le joueur est sur la bonne voie pour devenir admissible à représenter le Canada aux Championnats mondiaux.</w:t>
      </w:r>
    </w:p>
    <w:p w14:paraId="02E2698D" w14:textId="77777777" w:rsidR="00D854F9" w:rsidRPr="00C44A9C" w:rsidRDefault="00D854F9" w:rsidP="00D854F9">
      <w:pPr>
        <w:pStyle w:val="ListParagraph"/>
        <w:rPr>
          <w:rFonts w:ascii="Calibri" w:hAnsi="Calibri"/>
          <w:sz w:val="22"/>
          <w:szCs w:val="22"/>
          <w:lang w:val="fr-CA"/>
        </w:rPr>
      </w:pPr>
    </w:p>
    <w:p w14:paraId="3EF970C7" w14:textId="77777777" w:rsidR="00D854F9" w:rsidRPr="00C44A9C" w:rsidRDefault="00D854F9" w:rsidP="00D854F9">
      <w:pPr>
        <w:numPr>
          <w:ilvl w:val="0"/>
          <w:numId w:val="2"/>
        </w:numPr>
        <w:ind w:left="1134"/>
        <w:contextualSpacing/>
        <w:jc w:val="both"/>
        <w:rPr>
          <w:rFonts w:ascii="Calibri" w:hAnsi="Calibri" w:cs="Arial"/>
          <w:bCs/>
          <w:color w:val="000000"/>
          <w:sz w:val="22"/>
          <w:szCs w:val="22"/>
          <w:lang w:val="fr-CA" w:eastAsia="ja-JP"/>
        </w:rPr>
      </w:pPr>
      <w:r w:rsidRPr="00C44A9C">
        <w:rPr>
          <w:rFonts w:ascii="Calibri" w:hAnsi="Calibri" w:cs="Arial"/>
          <w:bCs/>
          <w:color w:val="000000"/>
          <w:sz w:val="22"/>
          <w:szCs w:val="22"/>
          <w:lang w:val="fr-CA" w:eastAsia="ja-JP"/>
        </w:rPr>
        <w:t>Payer tous les frais exigés.</w:t>
      </w:r>
    </w:p>
    <w:p w14:paraId="026862E1" w14:textId="77777777" w:rsidR="00D854F9" w:rsidRPr="00C44A9C" w:rsidRDefault="00D854F9" w:rsidP="00D854F9">
      <w:pPr>
        <w:ind w:left="1134"/>
        <w:contextualSpacing/>
        <w:jc w:val="both"/>
        <w:rPr>
          <w:rFonts w:ascii="Calibri" w:hAnsi="Calibri" w:cs="Arial"/>
          <w:bCs/>
          <w:color w:val="000000"/>
          <w:sz w:val="22"/>
          <w:szCs w:val="22"/>
          <w:u w:val="single"/>
          <w:lang w:val="fr-CA" w:eastAsia="ja-JP"/>
        </w:rPr>
      </w:pPr>
    </w:p>
    <w:p w14:paraId="71E937BA" w14:textId="77777777" w:rsidR="00D854F9" w:rsidRPr="00C44A9C" w:rsidRDefault="00D854F9" w:rsidP="00D85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b/>
          <w:bCs/>
          <w:color w:val="000000"/>
          <w:sz w:val="22"/>
          <w:szCs w:val="22"/>
          <w:u w:val="single"/>
          <w:lang w:val="fr-CA" w:eastAsia="ja-JP"/>
        </w:rPr>
      </w:pPr>
      <w:r w:rsidRPr="00C44A9C">
        <w:rPr>
          <w:rFonts w:ascii="Calibri" w:hAnsi="Calibri" w:cs="Arial"/>
          <w:b/>
          <w:bCs/>
          <w:color w:val="000000"/>
          <w:sz w:val="22"/>
          <w:szCs w:val="22"/>
          <w:u w:val="single"/>
          <w:lang w:val="fr-CA" w:eastAsia="ja-JP"/>
        </w:rPr>
        <w:t>CRITÈRES DE SÉLECTION :</w:t>
      </w:r>
    </w:p>
    <w:p w14:paraId="1B0BE185" w14:textId="77777777" w:rsidR="00D854F9" w:rsidRPr="00C44A9C" w:rsidRDefault="00D854F9" w:rsidP="00D854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b/>
          <w:bCs/>
          <w:color w:val="000000"/>
          <w:sz w:val="22"/>
          <w:szCs w:val="22"/>
          <w:lang w:val="fr-CA" w:eastAsia="ja-JP"/>
        </w:rPr>
      </w:pPr>
    </w:p>
    <w:p w14:paraId="6134B993" w14:textId="5F4C86B7" w:rsidR="00681AB0" w:rsidRPr="00C44A9C" w:rsidRDefault="00D854F9" w:rsidP="00D854F9">
      <w:pPr>
        <w:pStyle w:val="ListParagraph"/>
        <w:numPr>
          <w:ilvl w:val="0"/>
          <w:numId w:val="1"/>
        </w:numPr>
        <w:contextualSpacing/>
        <w:jc w:val="both"/>
        <w:rPr>
          <w:rFonts w:ascii="Calibri" w:hAnsi="Calibri"/>
          <w:sz w:val="22"/>
          <w:szCs w:val="22"/>
          <w:lang w:val="fr-CA"/>
        </w:rPr>
      </w:pPr>
      <w:r w:rsidRPr="00C44A9C">
        <w:rPr>
          <w:rFonts w:ascii="Calibri" w:hAnsi="Calibri"/>
          <w:sz w:val="22"/>
          <w:szCs w:val="22"/>
          <w:lang w:val="fr-CA"/>
        </w:rPr>
        <w:t>Les places au sein de l'équipe canadienne seront offertes aux joueurs dans l'ordre suivant :</w:t>
      </w:r>
    </w:p>
    <w:p w14:paraId="6B085807" w14:textId="7ACD7DF0" w:rsidR="001360A7" w:rsidRPr="00C44A9C" w:rsidRDefault="007E1842" w:rsidP="001360A7">
      <w:pPr>
        <w:numPr>
          <w:ilvl w:val="0"/>
          <w:numId w:val="4"/>
        </w:numPr>
        <w:contextualSpacing/>
        <w:jc w:val="both"/>
        <w:rPr>
          <w:rFonts w:ascii="Calibri" w:hAnsi="Calibri"/>
          <w:sz w:val="22"/>
          <w:szCs w:val="22"/>
          <w:lang w:val="fr-CA"/>
        </w:rPr>
      </w:pPr>
      <w:r w:rsidRPr="00C44A9C">
        <w:rPr>
          <w:rFonts w:ascii="Calibri" w:hAnsi="Calibri"/>
          <w:sz w:val="22"/>
          <w:szCs w:val="22"/>
          <w:lang w:val="fr-CA"/>
        </w:rPr>
        <w:t>D</w:t>
      </w:r>
      <w:r w:rsidR="001360A7" w:rsidRPr="00C44A9C">
        <w:rPr>
          <w:rFonts w:ascii="Calibri" w:hAnsi="Calibri"/>
          <w:sz w:val="22"/>
          <w:szCs w:val="22"/>
          <w:lang w:val="fr-CA"/>
        </w:rPr>
        <w:t>eux (2) joueurs qui ont terminé 1er et 2e dans les catégories d'âge U13, U15 et U17 chez les garçons et les filles lors des plus récents Championnats canadiens juniors.</w:t>
      </w:r>
    </w:p>
    <w:p w14:paraId="2EEAEBF8" w14:textId="575C362A" w:rsidR="001360A7" w:rsidRPr="00C44A9C" w:rsidRDefault="007E1842" w:rsidP="00FC2259">
      <w:pPr>
        <w:numPr>
          <w:ilvl w:val="0"/>
          <w:numId w:val="4"/>
        </w:numPr>
        <w:contextualSpacing/>
        <w:jc w:val="both"/>
        <w:rPr>
          <w:rFonts w:asciiTheme="minorHAnsi" w:eastAsiaTheme="minorEastAsia" w:hAnsiTheme="minorHAnsi" w:cstheme="minorHAnsi"/>
          <w:sz w:val="22"/>
          <w:szCs w:val="22"/>
          <w:lang w:val="fr-CA"/>
        </w:rPr>
      </w:pPr>
      <w:r w:rsidRPr="00C44A9C">
        <w:rPr>
          <w:rFonts w:asciiTheme="minorHAnsi" w:eastAsiaTheme="minorEastAsia" w:hAnsiTheme="minorHAnsi" w:cstheme="minorHAnsi"/>
          <w:sz w:val="22"/>
          <w:szCs w:val="22"/>
          <w:lang w:val="fr-CA"/>
        </w:rPr>
        <w:t>Deux (2) joueurs dans chaque catégorie</w:t>
      </w:r>
      <w:r w:rsidR="00742350" w:rsidRPr="00C44A9C">
        <w:rPr>
          <w:rFonts w:asciiTheme="minorHAnsi" w:eastAsiaTheme="minorEastAsia" w:hAnsiTheme="minorHAnsi" w:cstheme="minorHAnsi"/>
          <w:sz w:val="22"/>
          <w:szCs w:val="22"/>
          <w:lang w:val="fr-CA"/>
        </w:rPr>
        <w:t>,</w:t>
      </w:r>
      <w:r w:rsidRPr="00C44A9C">
        <w:rPr>
          <w:rFonts w:asciiTheme="minorHAnsi" w:eastAsiaTheme="minorEastAsia" w:hAnsiTheme="minorHAnsi" w:cstheme="minorHAnsi"/>
          <w:sz w:val="22"/>
          <w:szCs w:val="22"/>
          <w:lang w:val="fr-CA"/>
        </w:rPr>
        <w:t xml:space="preserve"> sélectionnés par le comité du cheminement des athlètes/juniors (CCAJ) en fonction de facteurs tels que les résultats sur le circuit national junior (y compris les Championnats canadiens juniors de 2023), les résultats en face</w:t>
      </w:r>
      <w:r w:rsidR="00AA1550" w:rsidRPr="00C44A9C">
        <w:rPr>
          <w:rFonts w:asciiTheme="minorHAnsi" w:eastAsiaTheme="minorEastAsia" w:hAnsiTheme="minorHAnsi" w:cstheme="minorHAnsi"/>
          <w:sz w:val="22"/>
          <w:szCs w:val="22"/>
          <w:lang w:val="fr-CA"/>
        </w:rPr>
        <w:t xml:space="preserve"> à </w:t>
      </w:r>
      <w:r w:rsidRPr="00C44A9C">
        <w:rPr>
          <w:rFonts w:asciiTheme="minorHAnsi" w:eastAsiaTheme="minorEastAsia" w:hAnsiTheme="minorHAnsi" w:cstheme="minorHAnsi"/>
          <w:sz w:val="22"/>
          <w:szCs w:val="22"/>
          <w:lang w:val="fr-CA"/>
        </w:rPr>
        <w:t>face au cours des six (6) mois précédents et la cote sur Club Locker.</w:t>
      </w:r>
    </w:p>
    <w:p w14:paraId="7F1EF1C6" w14:textId="69D737F4" w:rsidR="001360A7" w:rsidRPr="00C44A9C" w:rsidRDefault="001360A7" w:rsidP="00681AB0">
      <w:pPr>
        <w:numPr>
          <w:ilvl w:val="0"/>
          <w:numId w:val="4"/>
        </w:numPr>
        <w:contextualSpacing/>
        <w:jc w:val="both"/>
        <w:rPr>
          <w:rFonts w:asciiTheme="minorHAnsi" w:hAnsiTheme="minorHAnsi" w:cstheme="minorHAnsi"/>
          <w:sz w:val="22"/>
          <w:szCs w:val="22"/>
          <w:lang w:val="fr-CA"/>
        </w:rPr>
      </w:pPr>
      <w:r w:rsidRPr="00C44A9C">
        <w:rPr>
          <w:rFonts w:ascii="Calibri" w:hAnsi="Calibri"/>
          <w:sz w:val="22"/>
          <w:szCs w:val="22"/>
          <w:lang w:val="fr-CA"/>
        </w:rPr>
        <w:t xml:space="preserve">Si les étapes (a) et (b) ci-dessus ne permettent pas d'identifier quatre athlètes différents dans une catégorie d'âge, ou si les quatre joueurs n'acceptent pas l'invitation à l'équipe canadienne, d'autres choix discrétionnaires du </w:t>
      </w:r>
      <w:r w:rsidR="0022049B" w:rsidRPr="00C44A9C">
        <w:rPr>
          <w:rFonts w:ascii="Calibri" w:hAnsi="Calibri"/>
          <w:sz w:val="22"/>
          <w:szCs w:val="22"/>
          <w:lang w:val="fr-CA"/>
        </w:rPr>
        <w:t>CCJA</w:t>
      </w:r>
      <w:r w:rsidRPr="00C44A9C">
        <w:rPr>
          <w:rFonts w:ascii="Calibri" w:hAnsi="Calibri"/>
          <w:sz w:val="22"/>
          <w:szCs w:val="22"/>
          <w:lang w:val="fr-CA"/>
        </w:rPr>
        <w:t xml:space="preserve"> tiendront compte d'une combinaison de facteurs tels que : le classement au plus récent Championnat canadien junior, le fait qu'un athlète ait pu « jouer dans la catégorie supérieure » au plus récent Championnat canadien junior, le fait qu'il soit dans une « moins bonne année » et, le cas échéant, le classement au Championnat canadien junior de l'année précédente dans la catégorie d'âge la plus jeune, l'expérience et la performance lors de précédents championnats internationaux juniors, le niveau de compétence actuel, le potentiel de talent pour l'avenir, les résultats des confrontations directes au cours des 12 derniers mois contre des joueurs identifiés aux étapes (a) et (b) ci-dessus ou d'autres joueurs très bien classés.</w:t>
      </w:r>
    </w:p>
    <w:p w14:paraId="3AF78F60" w14:textId="77777777" w:rsidR="007B124C" w:rsidRPr="00C44A9C" w:rsidRDefault="007B124C" w:rsidP="007B124C">
      <w:pPr>
        <w:numPr>
          <w:ilvl w:val="0"/>
          <w:numId w:val="4"/>
        </w:numPr>
        <w:contextualSpacing/>
        <w:jc w:val="both"/>
        <w:rPr>
          <w:rFonts w:ascii="Calibri" w:hAnsi="Calibri"/>
          <w:sz w:val="22"/>
          <w:szCs w:val="22"/>
          <w:lang w:val="fr-CA"/>
        </w:rPr>
      </w:pPr>
      <w:r w:rsidRPr="00C44A9C">
        <w:rPr>
          <w:rFonts w:ascii="Calibri" w:hAnsi="Calibri"/>
          <w:sz w:val="22"/>
          <w:szCs w:val="22"/>
          <w:lang w:val="fr-CA"/>
        </w:rPr>
        <w:t>Si les étapes (a) à (c) ne permettent pas de confirmer la sélection et l'acceptation de quatre joueurs dans une catégorie d'âge, les places seront offertes au joueur qui a terminé 3e au plus récent Championnat canadien junior, suivi du joueur ayant le 3e meilleur classement canadien tel que publié immédiatement après le plus récent Championnat canadien junior, puis en alternance au 4e, au 5e et ainsi de suite jusqu'à ce que toutes les places soient comblées.</w:t>
      </w:r>
    </w:p>
    <w:p w14:paraId="7316BCAB" w14:textId="77777777" w:rsidR="001C59EB" w:rsidRPr="00C44A9C" w:rsidRDefault="001C59EB" w:rsidP="00681AB0">
      <w:pPr>
        <w:contextualSpacing/>
        <w:jc w:val="both"/>
        <w:rPr>
          <w:rFonts w:asciiTheme="minorHAnsi" w:hAnsiTheme="minorHAnsi" w:cstheme="minorHAnsi"/>
          <w:sz w:val="22"/>
          <w:szCs w:val="22"/>
          <w:lang w:val="fr-CA"/>
        </w:rPr>
      </w:pPr>
    </w:p>
    <w:p w14:paraId="0CCCBFBA" w14:textId="77777777" w:rsidR="007B124C" w:rsidRPr="00C44A9C" w:rsidRDefault="007B124C" w:rsidP="007B124C">
      <w:pPr>
        <w:pStyle w:val="ListParagraph"/>
        <w:numPr>
          <w:ilvl w:val="0"/>
          <w:numId w:val="1"/>
        </w:numPr>
        <w:contextualSpacing/>
        <w:jc w:val="both"/>
        <w:rPr>
          <w:rFonts w:ascii="Calibri" w:hAnsi="Calibri" w:cs="AngsanaUPC"/>
          <w:sz w:val="22"/>
          <w:szCs w:val="22"/>
          <w:lang w:val="fr-CA"/>
        </w:rPr>
      </w:pPr>
      <w:r w:rsidRPr="00C44A9C">
        <w:rPr>
          <w:rFonts w:ascii="Calibri" w:hAnsi="Calibri" w:cs="AngsanaUPC"/>
          <w:sz w:val="22"/>
          <w:szCs w:val="22"/>
          <w:lang w:val="fr-CA"/>
        </w:rPr>
        <w:t>Le Comité du cheminement des athlètes/juniors émettra des invitations à l'équipe canadienne, comme indiqué ci-dessus, dès que possible après le Championnat canadien junior.</w:t>
      </w:r>
    </w:p>
    <w:p w14:paraId="25E40841" w14:textId="77777777" w:rsidR="007B124C" w:rsidRPr="00C44A9C" w:rsidRDefault="007B124C" w:rsidP="007B124C">
      <w:pPr>
        <w:pStyle w:val="ListParagraph"/>
        <w:ind w:left="786"/>
        <w:contextualSpacing/>
        <w:jc w:val="both"/>
        <w:rPr>
          <w:rFonts w:ascii="Calibri" w:hAnsi="Calibri" w:cs="AngsanaUPC"/>
          <w:sz w:val="22"/>
          <w:szCs w:val="22"/>
          <w:lang w:val="fr-CA"/>
        </w:rPr>
      </w:pPr>
    </w:p>
    <w:p w14:paraId="279E4BE4" w14:textId="16AA84CF" w:rsidR="003B60A7" w:rsidRPr="00C44A9C" w:rsidRDefault="007B124C" w:rsidP="007B124C">
      <w:pPr>
        <w:pStyle w:val="ListParagraph"/>
        <w:numPr>
          <w:ilvl w:val="0"/>
          <w:numId w:val="1"/>
        </w:numPr>
        <w:contextualSpacing/>
        <w:jc w:val="both"/>
        <w:rPr>
          <w:rFonts w:ascii="Calibri" w:hAnsi="Calibri" w:cs="AngsanaUPC"/>
          <w:sz w:val="22"/>
          <w:szCs w:val="22"/>
          <w:lang w:val="fr-CA"/>
        </w:rPr>
      </w:pPr>
      <w:r w:rsidRPr="00C44A9C">
        <w:rPr>
          <w:rFonts w:ascii="Calibri" w:hAnsi="Calibri" w:cs="AngsanaUPC"/>
          <w:sz w:val="22"/>
          <w:szCs w:val="22"/>
          <w:lang w:val="fr-CA"/>
        </w:rPr>
        <w:t xml:space="preserve">Un joueur qui se voit offrir une place au sein de l'équipe canadienne disposera d'un nombre limité de jours pour accepter la sélection, avant que le comité ne doive offrir la place au joueur suivant </w:t>
      </w:r>
      <w:r w:rsidR="00C44A9C">
        <w:rPr>
          <w:rFonts w:ascii="Calibri" w:hAnsi="Calibri" w:cs="AngsanaUPC"/>
          <w:sz w:val="22"/>
          <w:szCs w:val="22"/>
          <w:lang w:val="fr-CA"/>
        </w:rPr>
        <w:t>sur la liste</w:t>
      </w:r>
      <w:r w:rsidRPr="00C44A9C">
        <w:rPr>
          <w:rFonts w:ascii="Calibri" w:hAnsi="Calibri" w:cs="AngsanaUPC"/>
          <w:sz w:val="22"/>
          <w:szCs w:val="22"/>
          <w:lang w:val="fr-CA"/>
        </w:rPr>
        <w:t>.</w:t>
      </w:r>
    </w:p>
    <w:sectPr w:rsidR="003B60A7" w:rsidRPr="00C44A9C" w:rsidSect="008C39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F2C"/>
    <w:multiLevelType w:val="hybridMultilevel"/>
    <w:tmpl w:val="9F1215EA"/>
    <w:lvl w:ilvl="0" w:tplc="7940EF56">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3E7B00"/>
    <w:multiLevelType w:val="hybridMultilevel"/>
    <w:tmpl w:val="DF8EDF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9633D9"/>
    <w:multiLevelType w:val="hybridMultilevel"/>
    <w:tmpl w:val="E5A6B50C"/>
    <w:lvl w:ilvl="0" w:tplc="1009000F">
      <w:start w:val="1"/>
      <w:numFmt w:val="decimal"/>
      <w:lvlText w:val="%1."/>
      <w:lvlJc w:val="left"/>
      <w:pPr>
        <w:ind w:left="502"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 w15:restartNumberingAfterBreak="0">
    <w:nsid w:val="0B823642"/>
    <w:multiLevelType w:val="hybridMultilevel"/>
    <w:tmpl w:val="97948FD6"/>
    <w:lvl w:ilvl="0" w:tplc="1009000F">
      <w:start w:val="1"/>
      <w:numFmt w:val="decimal"/>
      <w:lvlText w:val="%1."/>
      <w:lvlJc w:val="left"/>
      <w:pPr>
        <w:ind w:left="1440" w:hanging="360"/>
      </w:pPr>
      <w:rPr>
        <w:spacing w:val="0"/>
        <w:kern w:val="2"/>
        <w:position w:val="0"/>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4" w15:restartNumberingAfterBreak="0">
    <w:nsid w:val="104C5973"/>
    <w:multiLevelType w:val="hybridMultilevel"/>
    <w:tmpl w:val="AB44D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17E3FFD"/>
    <w:multiLevelType w:val="hybridMultilevel"/>
    <w:tmpl w:val="24B2460A"/>
    <w:lvl w:ilvl="0" w:tplc="7940EF56">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782102"/>
    <w:multiLevelType w:val="hybridMultilevel"/>
    <w:tmpl w:val="28AA6D3A"/>
    <w:lvl w:ilvl="0" w:tplc="D69CC3AC">
      <w:start w:val="1"/>
      <w:numFmt w:val="lowerLetter"/>
      <w:lvlText w:val="%1)"/>
      <w:lvlJc w:val="left"/>
      <w:pPr>
        <w:ind w:left="1288" w:hanging="360"/>
      </w:pPr>
      <w:rPr>
        <w:rFonts w:hint="default"/>
      </w:rPr>
    </w:lvl>
    <w:lvl w:ilvl="1" w:tplc="10090019" w:tentative="1">
      <w:start w:val="1"/>
      <w:numFmt w:val="lowerLetter"/>
      <w:lvlText w:val="%2."/>
      <w:lvlJc w:val="left"/>
      <w:pPr>
        <w:ind w:left="2008" w:hanging="360"/>
      </w:pPr>
    </w:lvl>
    <w:lvl w:ilvl="2" w:tplc="1009001B" w:tentative="1">
      <w:start w:val="1"/>
      <w:numFmt w:val="lowerRoman"/>
      <w:lvlText w:val="%3."/>
      <w:lvlJc w:val="right"/>
      <w:pPr>
        <w:ind w:left="2728" w:hanging="180"/>
      </w:pPr>
    </w:lvl>
    <w:lvl w:ilvl="3" w:tplc="1009000F" w:tentative="1">
      <w:start w:val="1"/>
      <w:numFmt w:val="decimal"/>
      <w:lvlText w:val="%4."/>
      <w:lvlJc w:val="left"/>
      <w:pPr>
        <w:ind w:left="3448" w:hanging="360"/>
      </w:pPr>
    </w:lvl>
    <w:lvl w:ilvl="4" w:tplc="10090019" w:tentative="1">
      <w:start w:val="1"/>
      <w:numFmt w:val="lowerLetter"/>
      <w:lvlText w:val="%5."/>
      <w:lvlJc w:val="left"/>
      <w:pPr>
        <w:ind w:left="4168" w:hanging="360"/>
      </w:pPr>
    </w:lvl>
    <w:lvl w:ilvl="5" w:tplc="1009001B" w:tentative="1">
      <w:start w:val="1"/>
      <w:numFmt w:val="lowerRoman"/>
      <w:lvlText w:val="%6."/>
      <w:lvlJc w:val="right"/>
      <w:pPr>
        <w:ind w:left="4888" w:hanging="180"/>
      </w:pPr>
    </w:lvl>
    <w:lvl w:ilvl="6" w:tplc="1009000F" w:tentative="1">
      <w:start w:val="1"/>
      <w:numFmt w:val="decimal"/>
      <w:lvlText w:val="%7."/>
      <w:lvlJc w:val="left"/>
      <w:pPr>
        <w:ind w:left="5608" w:hanging="360"/>
      </w:pPr>
    </w:lvl>
    <w:lvl w:ilvl="7" w:tplc="10090019" w:tentative="1">
      <w:start w:val="1"/>
      <w:numFmt w:val="lowerLetter"/>
      <w:lvlText w:val="%8."/>
      <w:lvlJc w:val="left"/>
      <w:pPr>
        <w:ind w:left="6328" w:hanging="360"/>
      </w:pPr>
    </w:lvl>
    <w:lvl w:ilvl="8" w:tplc="1009001B" w:tentative="1">
      <w:start w:val="1"/>
      <w:numFmt w:val="lowerRoman"/>
      <w:lvlText w:val="%9."/>
      <w:lvlJc w:val="right"/>
      <w:pPr>
        <w:ind w:left="7048" w:hanging="180"/>
      </w:pPr>
    </w:lvl>
  </w:abstractNum>
  <w:abstractNum w:abstractNumId="7" w15:restartNumberingAfterBreak="0">
    <w:nsid w:val="34183B29"/>
    <w:multiLevelType w:val="hybridMultilevel"/>
    <w:tmpl w:val="21EE2B26"/>
    <w:lvl w:ilvl="0" w:tplc="240ADFD6">
      <w:start w:val="1"/>
      <w:numFmt w:val="lowerLetter"/>
      <w:lvlText w:val="%1)"/>
      <w:lvlJc w:val="left"/>
      <w:pPr>
        <w:ind w:left="1480" w:hanging="360"/>
      </w:pPr>
      <w:rPr>
        <w:rFonts w:ascii="Calibri" w:eastAsia="Times New Roman"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C2D4523"/>
    <w:multiLevelType w:val="hybridMultilevel"/>
    <w:tmpl w:val="229E70A6"/>
    <w:lvl w:ilvl="0" w:tplc="7940EF56">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E3416A6"/>
    <w:multiLevelType w:val="hybridMultilevel"/>
    <w:tmpl w:val="3572E704"/>
    <w:lvl w:ilvl="0" w:tplc="2AA45086">
      <w:start w:val="1"/>
      <w:numFmt w:val="decimal"/>
      <w:lvlText w:val="%1."/>
      <w:lvlJc w:val="left"/>
      <w:pPr>
        <w:ind w:left="720" w:hanging="360"/>
      </w:pPr>
      <w:rPr>
        <w:spacing w:val="0"/>
        <w:kern w:val="2"/>
        <w:position w:val="0"/>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0" w15:restartNumberingAfterBreak="0">
    <w:nsid w:val="45F93596"/>
    <w:multiLevelType w:val="hybridMultilevel"/>
    <w:tmpl w:val="E9A0645A"/>
    <w:lvl w:ilvl="0" w:tplc="7940EF56">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EBD44D4"/>
    <w:multiLevelType w:val="hybridMultilevel"/>
    <w:tmpl w:val="5C8E1788"/>
    <w:lvl w:ilvl="0" w:tplc="3080E95C">
      <w:start w:val="1"/>
      <w:numFmt w:val="lowerLetter"/>
      <w:lvlText w:val="%1)"/>
      <w:lvlJc w:val="left"/>
      <w:pPr>
        <w:ind w:left="927" w:hanging="360"/>
      </w:pPr>
      <w:rPr>
        <w:spacing w:val="0"/>
        <w:kern w:val="2"/>
        <w:position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47E0CD1"/>
    <w:multiLevelType w:val="hybridMultilevel"/>
    <w:tmpl w:val="DDE89552"/>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7917415C"/>
    <w:multiLevelType w:val="hybridMultilevel"/>
    <w:tmpl w:val="655014D6"/>
    <w:lvl w:ilvl="0" w:tplc="2C005868">
      <w:start w:val="5"/>
      <w:numFmt w:val="decimal"/>
      <w:lvlText w:val="%1."/>
      <w:lvlJc w:val="left"/>
      <w:pPr>
        <w:ind w:left="928"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4" w15:restartNumberingAfterBreak="0">
    <w:nsid w:val="7A641979"/>
    <w:multiLevelType w:val="hybridMultilevel"/>
    <w:tmpl w:val="FFB21900"/>
    <w:lvl w:ilvl="0" w:tplc="7940EF56">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BFA7261"/>
    <w:multiLevelType w:val="hybridMultilevel"/>
    <w:tmpl w:val="D01C6E80"/>
    <w:lvl w:ilvl="0" w:tplc="DF229B56">
      <w:start w:val="1"/>
      <w:numFmt w:val="lowerLetter"/>
      <w:lvlText w:val="%1)"/>
      <w:lvlJc w:val="left"/>
      <w:pPr>
        <w:ind w:left="1080" w:hanging="360"/>
      </w:pPr>
      <w:rPr>
        <w:spacing w:val="0"/>
        <w:kern w:val="2"/>
        <w:position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F801F6C"/>
    <w:multiLevelType w:val="hybridMultilevel"/>
    <w:tmpl w:val="4E5C8090"/>
    <w:lvl w:ilvl="0" w:tplc="04090017">
      <w:start w:val="1"/>
      <w:numFmt w:val="lowerLetter"/>
      <w:lvlText w:val="%1)"/>
      <w:lvlJc w:val="left"/>
      <w:pPr>
        <w:ind w:left="92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10"/>
  </w:num>
  <w:num w:numId="16">
    <w:abstractNumId w:val="5"/>
  </w:num>
  <w:num w:numId="17">
    <w:abstractNumId w:val="8"/>
  </w:num>
  <w:num w:numId="18">
    <w:abstractNumId w:val="0"/>
  </w:num>
  <w:num w:numId="19">
    <w:abstractNumId w:val="1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AB0"/>
    <w:rsid w:val="000305E5"/>
    <w:rsid w:val="0005190D"/>
    <w:rsid w:val="00052008"/>
    <w:rsid w:val="00073EF2"/>
    <w:rsid w:val="00096338"/>
    <w:rsid w:val="000B5E87"/>
    <w:rsid w:val="001147E2"/>
    <w:rsid w:val="001360A7"/>
    <w:rsid w:val="001C59EB"/>
    <w:rsid w:val="001C7B52"/>
    <w:rsid w:val="0022049B"/>
    <w:rsid w:val="00275EBC"/>
    <w:rsid w:val="00337BE7"/>
    <w:rsid w:val="003541A7"/>
    <w:rsid w:val="003977DA"/>
    <w:rsid w:val="00397BDB"/>
    <w:rsid w:val="003B60A7"/>
    <w:rsid w:val="003C5EDB"/>
    <w:rsid w:val="003D5265"/>
    <w:rsid w:val="00402165"/>
    <w:rsid w:val="00445A7A"/>
    <w:rsid w:val="004910EC"/>
    <w:rsid w:val="004A68F0"/>
    <w:rsid w:val="004C7EE9"/>
    <w:rsid w:val="00620671"/>
    <w:rsid w:val="00621E1D"/>
    <w:rsid w:val="00647AC1"/>
    <w:rsid w:val="00681AB0"/>
    <w:rsid w:val="00700079"/>
    <w:rsid w:val="00715A0F"/>
    <w:rsid w:val="007179F1"/>
    <w:rsid w:val="00726C01"/>
    <w:rsid w:val="0072725C"/>
    <w:rsid w:val="00731F4F"/>
    <w:rsid w:val="00742350"/>
    <w:rsid w:val="00747CB3"/>
    <w:rsid w:val="00754E17"/>
    <w:rsid w:val="00797273"/>
    <w:rsid w:val="007B124C"/>
    <w:rsid w:val="007E1842"/>
    <w:rsid w:val="00801B27"/>
    <w:rsid w:val="008143C5"/>
    <w:rsid w:val="00833438"/>
    <w:rsid w:val="00837BD6"/>
    <w:rsid w:val="008540FF"/>
    <w:rsid w:val="008C2C3E"/>
    <w:rsid w:val="008C39BE"/>
    <w:rsid w:val="008E054D"/>
    <w:rsid w:val="00903387"/>
    <w:rsid w:val="009F337D"/>
    <w:rsid w:val="009F553E"/>
    <w:rsid w:val="009F5979"/>
    <w:rsid w:val="00A32628"/>
    <w:rsid w:val="00A4333F"/>
    <w:rsid w:val="00A72A56"/>
    <w:rsid w:val="00AA1550"/>
    <w:rsid w:val="00B96A27"/>
    <w:rsid w:val="00B96A7D"/>
    <w:rsid w:val="00BE03F9"/>
    <w:rsid w:val="00C41774"/>
    <w:rsid w:val="00C44A9C"/>
    <w:rsid w:val="00C874A4"/>
    <w:rsid w:val="00CC188C"/>
    <w:rsid w:val="00CF7F82"/>
    <w:rsid w:val="00D25CF1"/>
    <w:rsid w:val="00D262EF"/>
    <w:rsid w:val="00D30E1C"/>
    <w:rsid w:val="00D72406"/>
    <w:rsid w:val="00D854F9"/>
    <w:rsid w:val="00DB6324"/>
    <w:rsid w:val="00E15578"/>
    <w:rsid w:val="00E2029E"/>
    <w:rsid w:val="00E83732"/>
    <w:rsid w:val="00EB3F2B"/>
    <w:rsid w:val="00ED10FD"/>
    <w:rsid w:val="00ED1E45"/>
    <w:rsid w:val="00EE18AE"/>
    <w:rsid w:val="00F06FA3"/>
    <w:rsid w:val="00F349ED"/>
    <w:rsid w:val="00F456AF"/>
    <w:rsid w:val="00FB299B"/>
    <w:rsid w:val="00FC2259"/>
    <w:rsid w:val="00FC5C99"/>
    <w:rsid w:val="0DF0FF87"/>
    <w:rsid w:val="13032A28"/>
    <w:rsid w:val="13DBCA62"/>
    <w:rsid w:val="1E45B407"/>
    <w:rsid w:val="20A710E0"/>
    <w:rsid w:val="24046305"/>
    <w:rsid w:val="2A20E6EA"/>
    <w:rsid w:val="2BD87797"/>
    <w:rsid w:val="2F49D9D7"/>
    <w:rsid w:val="2FA03E6E"/>
    <w:rsid w:val="3117C726"/>
    <w:rsid w:val="31B0F79D"/>
    <w:rsid w:val="3FBF9CAE"/>
    <w:rsid w:val="401222A9"/>
    <w:rsid w:val="41ADF30A"/>
    <w:rsid w:val="4B5CC2D6"/>
    <w:rsid w:val="503033F9"/>
    <w:rsid w:val="5B18F1D3"/>
    <w:rsid w:val="5B9D7B94"/>
    <w:rsid w:val="5EC9AA39"/>
    <w:rsid w:val="60A0EA3F"/>
    <w:rsid w:val="60F2586E"/>
    <w:rsid w:val="6530409D"/>
    <w:rsid w:val="6B9D1E79"/>
    <w:rsid w:val="6C63A500"/>
    <w:rsid w:val="6DC8DA7C"/>
    <w:rsid w:val="710F52BC"/>
    <w:rsid w:val="75E47297"/>
    <w:rsid w:val="7EDBB8C9"/>
    <w:rsid w:val="7EF033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735702"/>
  <w15:docId w15:val="{DE0999DE-FF9C-4DF9-ABB6-3D82D511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Cs/>
        <w:sz w:val="28"/>
        <w:szCs w:val="28"/>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AB0"/>
    <w:rPr>
      <w:rFonts w:ascii="Times New Roman" w:eastAsia="Times New Roman" w:hAnsi="Times New Roman" w:cs="Times New Roman"/>
      <w:bCs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AB0"/>
    <w:pPr>
      <w:ind w:left="720"/>
    </w:pPr>
    <w:rPr>
      <w:rFonts w:ascii="Arial" w:eastAsiaTheme="minorHAnsi" w:hAnsi="Arial" w:cs="Arial"/>
      <w:sz w:val="28"/>
      <w:szCs w:val="28"/>
      <w:lang w:val="en-CA" w:eastAsia="en-CA"/>
    </w:rPr>
  </w:style>
  <w:style w:type="paragraph" w:styleId="BalloonText">
    <w:name w:val="Balloon Text"/>
    <w:basedOn w:val="Normal"/>
    <w:link w:val="BalloonTextChar"/>
    <w:uiPriority w:val="99"/>
    <w:semiHidden/>
    <w:unhideWhenUsed/>
    <w:rsid w:val="00681AB0"/>
    <w:rPr>
      <w:rFonts w:ascii="Tahoma" w:hAnsi="Tahoma" w:cs="Tahoma"/>
      <w:sz w:val="16"/>
      <w:szCs w:val="16"/>
    </w:rPr>
  </w:style>
  <w:style w:type="character" w:customStyle="1" w:styleId="BalloonTextChar">
    <w:name w:val="Balloon Text Char"/>
    <w:basedOn w:val="DefaultParagraphFont"/>
    <w:link w:val="BalloonText"/>
    <w:uiPriority w:val="99"/>
    <w:semiHidden/>
    <w:rsid w:val="00681AB0"/>
    <w:rPr>
      <w:rFonts w:ascii="Tahoma" w:eastAsia="Times New Roman" w:hAnsi="Tahoma" w:cs="Tahoma"/>
      <w:bCs w:val="0"/>
      <w:sz w:val="16"/>
      <w:szCs w:val="16"/>
      <w:lang w:val="en-US"/>
    </w:rPr>
  </w:style>
  <w:style w:type="character" w:styleId="Hyperlink">
    <w:name w:val="Hyperlink"/>
    <w:basedOn w:val="DefaultParagraphFont"/>
    <w:uiPriority w:val="99"/>
    <w:unhideWhenUsed/>
    <w:rsid w:val="00F349ED"/>
    <w:rPr>
      <w:color w:val="0000FF" w:themeColor="hyperlink"/>
      <w:u w:val="single"/>
    </w:rPr>
  </w:style>
  <w:style w:type="character" w:styleId="UnresolvedMention">
    <w:name w:val="Unresolved Mention"/>
    <w:basedOn w:val="DefaultParagraphFont"/>
    <w:uiPriority w:val="99"/>
    <w:semiHidden/>
    <w:unhideWhenUsed/>
    <w:rsid w:val="00F349ED"/>
    <w:rPr>
      <w:color w:val="605E5C"/>
      <w:shd w:val="clear" w:color="auto" w:fill="E1DFDD"/>
    </w:rPr>
  </w:style>
  <w:style w:type="paragraph" w:styleId="Revision">
    <w:name w:val="Revision"/>
    <w:hidden/>
    <w:uiPriority w:val="99"/>
    <w:semiHidden/>
    <w:rsid w:val="00621E1D"/>
    <w:rPr>
      <w:rFonts w:ascii="Times New Roman" w:eastAsia="Times New Roman" w:hAnsi="Times New Roman" w:cs="Times New Roman"/>
      <w:bCs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5405">
      <w:bodyDiv w:val="1"/>
      <w:marLeft w:val="0"/>
      <w:marRight w:val="0"/>
      <w:marTop w:val="0"/>
      <w:marBottom w:val="0"/>
      <w:divBdr>
        <w:top w:val="none" w:sz="0" w:space="0" w:color="auto"/>
        <w:left w:val="none" w:sz="0" w:space="0" w:color="auto"/>
        <w:bottom w:val="none" w:sz="0" w:space="0" w:color="auto"/>
        <w:right w:val="none" w:sz="0" w:space="0" w:color="auto"/>
      </w:divBdr>
    </w:div>
    <w:div w:id="210502683">
      <w:bodyDiv w:val="1"/>
      <w:marLeft w:val="0"/>
      <w:marRight w:val="0"/>
      <w:marTop w:val="0"/>
      <w:marBottom w:val="0"/>
      <w:divBdr>
        <w:top w:val="none" w:sz="0" w:space="0" w:color="auto"/>
        <w:left w:val="none" w:sz="0" w:space="0" w:color="auto"/>
        <w:bottom w:val="none" w:sz="0" w:space="0" w:color="auto"/>
        <w:right w:val="none" w:sz="0" w:space="0" w:color="auto"/>
      </w:divBdr>
    </w:div>
    <w:div w:id="110252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quash.ca/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647bd68-acb3-483b-ab70-0df0e1ec1da8" xsi:nil="true"/>
    <lcf76f155ced4ddcb4097134ff3c332f xmlns="e0be9105-acbe-45ca-a01d-58bf40007fa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572E4576029B428F992C7B4B4557EE" ma:contentTypeVersion="13" ma:contentTypeDescription="Create a new document." ma:contentTypeScope="" ma:versionID="6df21be0906282ddd0668ac3ff46ae13">
  <xsd:schema xmlns:xsd="http://www.w3.org/2001/XMLSchema" xmlns:xs="http://www.w3.org/2001/XMLSchema" xmlns:p="http://schemas.microsoft.com/office/2006/metadata/properties" xmlns:ns2="c647bd68-acb3-483b-ab70-0df0e1ec1da8" xmlns:ns3="e0be9105-acbe-45ca-a01d-58bf40007fad" targetNamespace="http://schemas.microsoft.com/office/2006/metadata/properties" ma:root="true" ma:fieldsID="95f8c7c438605b85375c498a9d5b50a0" ns2:_="" ns3:_="">
    <xsd:import namespace="c647bd68-acb3-483b-ab70-0df0e1ec1da8"/>
    <xsd:import namespace="e0be9105-acbe-45ca-a01d-58bf40007f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7bd68-acb3-483b-ab70-0df0e1ec1d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ff5c214-95f0-4d6b-a284-1c7d21a3f7e9}" ma:internalName="TaxCatchAll" ma:showField="CatchAllData" ma:web="c647bd68-acb3-483b-ab70-0df0e1ec1d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be9105-acbe-45ca-a01d-58bf40007f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b814a41-89da-4f8a-bc26-1d79cf962fd6"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dexed="true"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A892D8-BF8A-499A-BF0C-83D2BFEFFFB3}">
  <ds:schemaRefs>
    <ds:schemaRef ds:uri="http://schemas.microsoft.com/sharepoint/v3/contenttype/forms"/>
  </ds:schemaRefs>
</ds:datastoreItem>
</file>

<file path=customXml/itemProps2.xml><?xml version="1.0" encoding="utf-8"?>
<ds:datastoreItem xmlns:ds="http://schemas.openxmlformats.org/officeDocument/2006/customXml" ds:itemID="{91851F08-9801-4307-B3F6-2CA786F9522E}">
  <ds:schemaRefs>
    <ds:schemaRef ds:uri="http://schemas.microsoft.com/office/2006/metadata/properties"/>
    <ds:schemaRef ds:uri="http://schemas.microsoft.com/office/infopath/2007/PartnerControls"/>
    <ds:schemaRef ds:uri="c647bd68-acb3-483b-ab70-0df0e1ec1da8"/>
    <ds:schemaRef ds:uri="e0be9105-acbe-45ca-a01d-58bf40007fad"/>
  </ds:schemaRefs>
</ds:datastoreItem>
</file>

<file path=customXml/itemProps3.xml><?xml version="1.0" encoding="utf-8"?>
<ds:datastoreItem xmlns:ds="http://schemas.openxmlformats.org/officeDocument/2006/customXml" ds:itemID="{D1E95D44-D639-456B-A53D-22EADF86C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47bd68-acb3-483b-ab70-0df0e1ec1da8"/>
    <ds:schemaRef ds:uri="e0be9105-acbe-45ca-a01d-58bf40007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685</Words>
  <Characters>3905</Characters>
  <Application>Microsoft Office Word</Application>
  <DocSecurity>0</DocSecurity>
  <Lines>32</Lines>
  <Paragraphs>9</Paragraphs>
  <ScaleCrop>false</ScaleCrop>
  <Company>Toshiba</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Réviseur</cp:lastModifiedBy>
  <cp:revision>3</cp:revision>
  <cp:lastPrinted>2015-01-22T15:38:00Z</cp:lastPrinted>
  <dcterms:created xsi:type="dcterms:W3CDTF">2023-05-02T22:46:00Z</dcterms:created>
  <dcterms:modified xsi:type="dcterms:W3CDTF">2023-05-02T22:48:00Z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0x0101001A572E4576029B428F992C7B4B4557EE</vt:lpwstr>
  </property>
  <property fmtid="{D5CDD505-2E9C-101B-9397-08002B2CF9AE}" pid="3" name="MediaServiceImageTags">
    <vt:lpwstr/>
  </property>
</Properties>
</file>